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DD3" w:rsidRDefault="00D15DD3" w:rsidP="00D15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right"/>
        <w:rPr>
          <w:rFonts w:ascii="Times New Roman" w:eastAsia="Calibri" w:hAnsi="Times New Roman"/>
          <w:kern w:val="0"/>
          <w:lang w:eastAsia="ru-RU"/>
        </w:rPr>
      </w:pPr>
      <w:r>
        <w:rPr>
          <w:rFonts w:ascii="Times New Roman" w:eastAsia="Calibri" w:hAnsi="Times New Roman"/>
          <w:kern w:val="0"/>
          <w:lang w:eastAsia="ru-RU"/>
        </w:rPr>
        <w:t>Проект</w:t>
      </w:r>
    </w:p>
    <w:p w:rsidR="00D15DD3" w:rsidRDefault="00D15DD3" w:rsidP="00D15DD3">
      <w:pPr>
        <w:spacing w:after="0" w:line="240" w:lineRule="auto"/>
        <w:ind w:left="4320"/>
        <w:jc w:val="right"/>
        <w:rPr>
          <w:rFonts w:ascii="Times New Roman" w:hAnsi="Times New Roman"/>
          <w:sz w:val="24"/>
          <w:szCs w:val="24"/>
        </w:rPr>
      </w:pPr>
    </w:p>
    <w:p w:rsidR="00D15DD3" w:rsidRDefault="00D15DD3" w:rsidP="00D15DD3">
      <w:pPr>
        <w:pStyle w:val="1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15DD3" w:rsidRDefault="00D15DD3" w:rsidP="00D15DD3">
      <w:pPr>
        <w:pStyle w:val="1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ПАСПОРТ МУНИЦИПАЛЬНОЙ ПРОГРАММЫ </w:t>
      </w:r>
    </w:p>
    <w:p w:rsidR="00D15DD3" w:rsidRDefault="00D15DD3" w:rsidP="00D15DD3">
      <w:pPr>
        <w:pStyle w:val="1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«РАЗВИТИЕ ОБРАЗОВАНИЯ  АРГАЯШСКОГО МУНИЦИПАЛЬНОГО РАЙОНА»</w:t>
      </w:r>
    </w:p>
    <w:p w:rsidR="00D15DD3" w:rsidRDefault="00D15DD3" w:rsidP="00D15D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065" w:type="dxa"/>
        <w:tblInd w:w="-289" w:type="dxa"/>
        <w:tblLook w:val="0000"/>
      </w:tblPr>
      <w:tblGrid>
        <w:gridCol w:w="2699"/>
        <w:gridCol w:w="7366"/>
      </w:tblGrid>
      <w:tr w:rsidR="00D15DD3" w:rsidTr="00D04265">
        <w:trPr>
          <w:trHeight w:val="1295"/>
        </w:trPr>
        <w:tc>
          <w:tcPr>
            <w:tcW w:w="2699" w:type="dxa"/>
          </w:tcPr>
          <w:p w:rsidR="00D15DD3" w:rsidRDefault="00D15DD3" w:rsidP="00D0426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7365" w:type="dxa"/>
          </w:tcPr>
          <w:p w:rsidR="00D15DD3" w:rsidRDefault="00D15DD3" w:rsidP="00D04265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Управление образования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Аргаяшского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 Челябинской области</w:t>
            </w:r>
          </w:p>
          <w:p w:rsidR="00D15DD3" w:rsidRDefault="00D15DD3" w:rsidP="00D04265">
            <w:pPr>
              <w:spacing w:after="0" w:line="240" w:lineRule="auto"/>
              <w:rPr>
                <w:lang w:eastAsia="ru-RU"/>
              </w:rPr>
            </w:pPr>
          </w:p>
        </w:tc>
      </w:tr>
      <w:tr w:rsidR="00D15DD3" w:rsidTr="00D04265">
        <w:trPr>
          <w:trHeight w:val="286"/>
        </w:trPr>
        <w:tc>
          <w:tcPr>
            <w:tcW w:w="2699" w:type="dxa"/>
          </w:tcPr>
          <w:p w:rsidR="00D15DD3" w:rsidRDefault="00D15DD3" w:rsidP="00D0426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7365" w:type="dxa"/>
          </w:tcPr>
          <w:p w:rsidR="00D15DD3" w:rsidRDefault="00D15DD3" w:rsidP="00D04265">
            <w:pPr>
              <w:spacing w:after="0" w:line="240" w:lineRule="auto"/>
              <w:rPr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Образовательные организации</w:t>
            </w:r>
          </w:p>
        </w:tc>
      </w:tr>
      <w:tr w:rsidR="00D15DD3" w:rsidTr="00D04265">
        <w:trPr>
          <w:trHeight w:val="167"/>
        </w:trPr>
        <w:tc>
          <w:tcPr>
            <w:tcW w:w="2699" w:type="dxa"/>
          </w:tcPr>
          <w:p w:rsidR="00D15DD3" w:rsidRDefault="00D15DD3" w:rsidP="00D0426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D15DD3" w:rsidRDefault="00D15DD3" w:rsidP="00D0426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Участники муниципальной программы</w:t>
            </w:r>
          </w:p>
        </w:tc>
        <w:tc>
          <w:tcPr>
            <w:tcW w:w="7365" w:type="dxa"/>
          </w:tcPr>
          <w:p w:rsidR="00D15DD3" w:rsidRDefault="00D15DD3" w:rsidP="00D04265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  <w:p w:rsidR="00D15DD3" w:rsidRDefault="00D15DD3" w:rsidP="00D04265">
            <w:pPr>
              <w:pStyle w:val="a3"/>
            </w:pPr>
            <w:r>
              <w:rPr>
                <w:rFonts w:ascii="Times New Roman" w:hAnsi="Times New Roman"/>
                <w:sz w:val="26"/>
                <w:szCs w:val="26"/>
              </w:rPr>
              <w:t xml:space="preserve">Министерство образования и науки Челябинской области. </w:t>
            </w:r>
          </w:p>
        </w:tc>
      </w:tr>
      <w:tr w:rsidR="00D15DD3" w:rsidTr="00D04265">
        <w:trPr>
          <w:trHeight w:val="3370"/>
        </w:trPr>
        <w:tc>
          <w:tcPr>
            <w:tcW w:w="2699" w:type="dxa"/>
          </w:tcPr>
          <w:p w:rsidR="00D15DD3" w:rsidRDefault="00D15DD3" w:rsidP="00D0426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Подпрограммы муниципальной программы</w:t>
            </w:r>
          </w:p>
          <w:p w:rsidR="00D15DD3" w:rsidRDefault="00D15DD3" w:rsidP="00D0426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365" w:type="dxa"/>
          </w:tcPr>
          <w:p w:rsidR="00D15DD3" w:rsidRDefault="00D15DD3" w:rsidP="00D0426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Подпрограмма 1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«Развитие дошкольного образования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Аргаяшского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района»;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</w:p>
          <w:p w:rsidR="00D15DD3" w:rsidRDefault="00D15DD3" w:rsidP="00D0426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Подпрограмма 2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«Развитие общего образования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Аргаяшского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муниципального района»;</w:t>
            </w:r>
          </w:p>
          <w:p w:rsidR="00D15DD3" w:rsidRDefault="00D15DD3" w:rsidP="00D0426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Подпрограмма 3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«Развитие дополнительного образования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Аргаяшского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муниципального района»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D15DD3" w:rsidRDefault="00D15DD3" w:rsidP="00D0426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Подпрограмма 4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«Отдых, оздоровление, занятость детей и молодежи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Аргаяшского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муниципального района»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D15DD3" w:rsidRDefault="00D15DD3" w:rsidP="00D0426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Подпрограмма 5 </w:t>
            </w:r>
            <w:r>
              <w:rPr>
                <w:rFonts w:ascii="Times New Roman" w:hAnsi="Times New Roman"/>
                <w:sz w:val="26"/>
                <w:szCs w:val="26"/>
              </w:rPr>
              <w:t>«Прочие мероприятия в области образования»;</w:t>
            </w:r>
          </w:p>
          <w:p w:rsidR="00D15DD3" w:rsidRDefault="00D15DD3" w:rsidP="00D0426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Подпрограмма 6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«Безопасность образовательных учреждений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Аргаяшского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района»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</w:p>
          <w:p w:rsidR="00D15DD3" w:rsidRDefault="00D15DD3" w:rsidP="00D0426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D15DD3" w:rsidTr="00D04265">
        <w:trPr>
          <w:trHeight w:val="1543"/>
        </w:trPr>
        <w:tc>
          <w:tcPr>
            <w:tcW w:w="2699" w:type="dxa"/>
          </w:tcPr>
          <w:p w:rsidR="00D15DD3" w:rsidRDefault="00D15DD3" w:rsidP="00D0426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Цели муниципальной программы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</w:p>
          <w:p w:rsidR="00D15DD3" w:rsidRDefault="00D15DD3" w:rsidP="00D04265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65" w:type="dxa"/>
          </w:tcPr>
          <w:p w:rsidR="00D15DD3" w:rsidRDefault="00D15DD3" w:rsidP="00D04265">
            <w:pPr>
              <w:pStyle w:val="2"/>
              <w:numPr>
                <w:ilvl w:val="0"/>
                <w:numId w:val="1"/>
              </w:numPr>
              <w:tabs>
                <w:tab w:val="left" w:pos="315"/>
              </w:tabs>
              <w:spacing w:after="0" w:line="240" w:lineRule="auto"/>
              <w:ind w:left="32" w:right="34" w:firstLine="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Предоставление равных возможностей для получения гражданами качественного образования всех видов и уровней.</w:t>
            </w:r>
          </w:p>
          <w:p w:rsidR="00D15DD3" w:rsidRDefault="00D15DD3" w:rsidP="00D04265">
            <w:pPr>
              <w:pStyle w:val="2"/>
              <w:numPr>
                <w:ilvl w:val="0"/>
                <w:numId w:val="1"/>
              </w:numPr>
              <w:tabs>
                <w:tab w:val="left" w:pos="315"/>
              </w:tabs>
              <w:spacing w:after="0" w:line="240" w:lineRule="auto"/>
              <w:ind w:left="32" w:right="34" w:firstLine="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Создание в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Аргаяшском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муниципальном районе Челябинской области равных возможностей для получения качественного дошкольного образования.</w:t>
            </w:r>
          </w:p>
          <w:p w:rsidR="00D15DD3" w:rsidRDefault="00D15DD3" w:rsidP="00D04265">
            <w:pPr>
              <w:pStyle w:val="2"/>
              <w:numPr>
                <w:ilvl w:val="0"/>
                <w:numId w:val="1"/>
              </w:numPr>
              <w:tabs>
                <w:tab w:val="left" w:pos="315"/>
              </w:tabs>
              <w:spacing w:after="0" w:line="240" w:lineRule="auto"/>
              <w:ind w:left="32" w:right="34" w:firstLine="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Создание условий для эффективного развития образования, направленного на обеспечение доступности качественного образования, соответствующего требованиям современного инновационного социально ориентированного развития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Аргаяшского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муниципального района. </w:t>
            </w:r>
          </w:p>
          <w:p w:rsidR="00D15DD3" w:rsidRDefault="00D15DD3" w:rsidP="00D04265">
            <w:pPr>
              <w:pStyle w:val="2"/>
              <w:numPr>
                <w:ilvl w:val="0"/>
                <w:numId w:val="1"/>
              </w:numPr>
              <w:tabs>
                <w:tab w:val="left" w:pos="315"/>
              </w:tabs>
              <w:spacing w:after="0" w:line="240" w:lineRule="auto"/>
              <w:ind w:left="32" w:right="34" w:firstLine="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Повышение в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Аргаяшском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муниципальном районе качества общего образования посредством обновления содержания и технологий преподавания общеобразовательных программ, вовлечения всех участников системы образования (обучающихся, педагогов, родителей (законных представителей), работодателей и представителей общественных объединений) в развитие системы общего образования, а также за счет обновления материально-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технической базы и переподготовки педагогических кадров.</w:t>
            </w:r>
          </w:p>
          <w:p w:rsidR="00D15DD3" w:rsidRDefault="00D15DD3" w:rsidP="00D04265">
            <w:pPr>
              <w:pStyle w:val="2"/>
              <w:numPr>
                <w:ilvl w:val="0"/>
                <w:numId w:val="1"/>
              </w:numPr>
              <w:tabs>
                <w:tab w:val="left" w:pos="315"/>
              </w:tabs>
              <w:spacing w:after="0" w:line="240" w:lineRule="auto"/>
              <w:ind w:left="32" w:right="34" w:firstLine="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Модернизация модели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единого  методического  пространства,  способствующего взаимодействию  муниципальной методической службы и методических служб образовательных организаций для  повышения качества методического сопровождения педагогических кадров и  обеспечения  преемственности  и 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адресности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 методического сопровождения профессионального роста педагогов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Аргаяшского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района.</w:t>
            </w:r>
          </w:p>
          <w:p w:rsidR="00D15DD3" w:rsidRDefault="00D15DD3" w:rsidP="00D04265">
            <w:pPr>
              <w:pStyle w:val="2"/>
              <w:numPr>
                <w:ilvl w:val="0"/>
                <w:numId w:val="1"/>
              </w:numPr>
              <w:tabs>
                <w:tab w:val="left" w:pos="345"/>
              </w:tabs>
              <w:spacing w:after="0" w:line="240" w:lineRule="auto"/>
              <w:ind w:left="0" w:right="34" w:firstLine="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Создание в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Аргаяшском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муниципальном районе новых мест в общеобразовательных организациях в соответствии с прогнозируемой потребностью и современными требованиями к условиям обучения.</w:t>
            </w:r>
          </w:p>
          <w:p w:rsidR="00D15DD3" w:rsidRDefault="00D15DD3" w:rsidP="00D04265">
            <w:pPr>
              <w:pStyle w:val="2"/>
              <w:numPr>
                <w:ilvl w:val="0"/>
                <w:numId w:val="1"/>
              </w:numPr>
              <w:tabs>
                <w:tab w:val="left" w:pos="345"/>
              </w:tabs>
              <w:spacing w:after="0" w:line="240" w:lineRule="auto"/>
              <w:ind w:left="0" w:right="34" w:firstLine="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Создание условий для формирования ранней профессиональной ориентации, профессионального самоопределения и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самореализации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обучающихся с учетом потребностей рынка труда региона.</w:t>
            </w:r>
          </w:p>
          <w:p w:rsidR="00D15DD3" w:rsidRDefault="00D15DD3" w:rsidP="00D04265">
            <w:pPr>
              <w:pStyle w:val="2"/>
              <w:numPr>
                <w:ilvl w:val="0"/>
                <w:numId w:val="1"/>
              </w:numPr>
              <w:tabs>
                <w:tab w:val="left" w:pos="315"/>
              </w:tabs>
              <w:spacing w:after="0" w:line="240" w:lineRule="auto"/>
              <w:ind w:left="32" w:right="34" w:firstLine="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Создание условий для улучшения состояния здоровья детского населения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Аргаяшского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муниципального района и удовлетворения потребностей в качественных и социально значимых услугах оздоровления, отдыха и занятости несовершеннолетних.</w:t>
            </w:r>
          </w:p>
          <w:p w:rsidR="00D15DD3" w:rsidRDefault="00D15DD3" w:rsidP="00D04265">
            <w:pPr>
              <w:pStyle w:val="2"/>
              <w:numPr>
                <w:ilvl w:val="0"/>
                <w:numId w:val="1"/>
              </w:numPr>
              <w:tabs>
                <w:tab w:val="left" w:pos="315"/>
              </w:tabs>
              <w:spacing w:after="0" w:line="240" w:lineRule="auto"/>
              <w:ind w:left="32" w:right="34" w:firstLine="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Создание условий для эффективного развития системы профилактики безнадзорности и правонарушений несовершеннолетних.</w:t>
            </w:r>
          </w:p>
          <w:p w:rsidR="00D15DD3" w:rsidRDefault="00D15DD3" w:rsidP="00D04265">
            <w:pPr>
              <w:pStyle w:val="2"/>
              <w:numPr>
                <w:ilvl w:val="0"/>
                <w:numId w:val="1"/>
              </w:numPr>
              <w:tabs>
                <w:tab w:val="left" w:pos="315"/>
              </w:tabs>
              <w:spacing w:after="0" w:line="240" w:lineRule="auto"/>
              <w:ind w:left="32" w:right="34" w:firstLine="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Повышение качества и эффективности реализации образовательных программ в системе образования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Аргаяшского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муниципального района, интеграция и координация действий Управления образования и муниципальных образовательных организаций.</w:t>
            </w:r>
          </w:p>
          <w:p w:rsidR="00D15DD3" w:rsidRDefault="00D15DD3" w:rsidP="00D04265">
            <w:pPr>
              <w:pStyle w:val="2"/>
              <w:numPr>
                <w:ilvl w:val="0"/>
                <w:numId w:val="1"/>
              </w:numPr>
              <w:tabs>
                <w:tab w:val="left" w:pos="315"/>
              </w:tabs>
              <w:spacing w:after="0" w:line="240" w:lineRule="auto"/>
              <w:ind w:left="32" w:right="34" w:firstLine="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Обеспечение комплексной безопасности обучающихся, воспитанников, работников образовательных организаций во время их трудовой и учебной деятельности путем повышения безопасности жизнедеятельности: противопожарной, электрической, санитарно-эпидемиологической, </w:t>
            </w:r>
            <w:proofErr w:type="spellStart"/>
            <w:proofErr w:type="gramStart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антитерро-ристической</w:t>
            </w:r>
            <w:proofErr w:type="spellEnd"/>
            <w:proofErr w:type="gramEnd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и технической безопасности зданий, сооружений в муниципальных образовательных организациях всех типов и видов, подведомственных Управлению образования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Аргаяшского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муниципального района.</w:t>
            </w:r>
          </w:p>
          <w:p w:rsidR="00D15DD3" w:rsidRDefault="00D15DD3" w:rsidP="00D04265">
            <w:pPr>
              <w:pStyle w:val="2"/>
              <w:tabs>
                <w:tab w:val="left" w:pos="315"/>
              </w:tabs>
              <w:spacing w:after="0" w:line="240" w:lineRule="auto"/>
              <w:ind w:left="32" w:right="34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D15DD3" w:rsidTr="00D04265">
        <w:trPr>
          <w:trHeight w:val="1117"/>
        </w:trPr>
        <w:tc>
          <w:tcPr>
            <w:tcW w:w="2699" w:type="dxa"/>
          </w:tcPr>
          <w:p w:rsidR="00D15DD3" w:rsidRDefault="00D15DD3" w:rsidP="00D0426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Задачи муниципальной программы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</w:p>
          <w:p w:rsidR="00D15DD3" w:rsidRDefault="00D15DD3" w:rsidP="00D04265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65" w:type="dxa"/>
          </w:tcPr>
          <w:p w:rsidR="00D15DD3" w:rsidRDefault="00D15DD3" w:rsidP="00D0426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1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2"/>
              </w:numPr>
              <w:tabs>
                <w:tab w:val="left" w:pos="315"/>
                <w:tab w:val="left" w:pos="74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kern w:val="0"/>
                <w:sz w:val="26"/>
                <w:szCs w:val="26"/>
                <w:lang w:eastAsia="ru-RU"/>
              </w:rPr>
              <w:t xml:space="preserve">Модернизация и качественное улучшение содержания, форм и методов организации дошкольного образования в рамках реализации федерального государственного образовательного стандарта дошкольного образования (далее именуется - ФГОС </w:t>
            </w:r>
            <w:proofErr w:type="gramStart"/>
            <w:r>
              <w:rPr>
                <w:rFonts w:ascii="Times New Roman" w:hAnsi="Times New Roman"/>
                <w:kern w:val="0"/>
                <w:sz w:val="26"/>
                <w:szCs w:val="26"/>
                <w:lang w:eastAsia="ru-RU"/>
              </w:rPr>
              <w:t>ДО</w:t>
            </w:r>
            <w:proofErr w:type="gramEnd"/>
            <w:r>
              <w:rPr>
                <w:rFonts w:ascii="Times New Roman" w:hAnsi="Times New Roman"/>
                <w:kern w:val="0"/>
                <w:sz w:val="26"/>
                <w:szCs w:val="26"/>
                <w:lang w:eastAsia="ru-RU"/>
              </w:rPr>
              <w:t>).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2"/>
              </w:numPr>
              <w:tabs>
                <w:tab w:val="left" w:pos="315"/>
                <w:tab w:val="left" w:pos="74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kern w:val="0"/>
                <w:sz w:val="26"/>
                <w:szCs w:val="26"/>
                <w:lang w:eastAsia="ru-RU"/>
              </w:rPr>
              <w:t xml:space="preserve">Удовлетворение потребности всех социально-демографических групп и слоев населения в услугах по </w:t>
            </w:r>
            <w:r>
              <w:rPr>
                <w:rFonts w:ascii="Times New Roman" w:hAnsi="Times New Roman"/>
                <w:kern w:val="0"/>
                <w:sz w:val="26"/>
                <w:szCs w:val="26"/>
                <w:lang w:eastAsia="ru-RU"/>
              </w:rPr>
              <w:lastRenderedPageBreak/>
              <w:t>дошкольному образованию, присмотру и уходу за детьми.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2"/>
              </w:numPr>
              <w:tabs>
                <w:tab w:val="left" w:pos="315"/>
                <w:tab w:val="left" w:pos="74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kern w:val="0"/>
                <w:sz w:val="26"/>
                <w:szCs w:val="26"/>
                <w:lang w:eastAsia="ru-RU"/>
              </w:rPr>
              <w:t xml:space="preserve">Содействие формированию современной и доступной среды в дошкольных образовательных организациях </w:t>
            </w:r>
            <w:proofErr w:type="spellStart"/>
            <w:r>
              <w:rPr>
                <w:rFonts w:ascii="Times New Roman" w:hAnsi="Times New Roman"/>
                <w:kern w:val="0"/>
                <w:sz w:val="26"/>
                <w:szCs w:val="26"/>
                <w:lang w:eastAsia="ru-RU"/>
              </w:rPr>
              <w:t>Аргаяшского</w:t>
            </w:r>
            <w:proofErr w:type="spellEnd"/>
            <w:r>
              <w:rPr>
                <w:rFonts w:ascii="Times New Roman" w:hAnsi="Times New Roman"/>
                <w:kern w:val="0"/>
                <w:sz w:val="26"/>
                <w:szCs w:val="26"/>
                <w:lang w:eastAsia="ru-RU"/>
              </w:rPr>
              <w:t xml:space="preserve"> муниципального района.</w:t>
            </w:r>
          </w:p>
          <w:p w:rsidR="00D15DD3" w:rsidRDefault="00D15DD3" w:rsidP="00D0426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2</w:t>
            </w:r>
          </w:p>
          <w:p w:rsidR="00D15DD3" w:rsidRDefault="00D15DD3" w:rsidP="00D04265">
            <w:pPr>
              <w:pStyle w:val="4"/>
              <w:widowControl w:val="0"/>
              <w:numPr>
                <w:ilvl w:val="0"/>
                <w:numId w:val="4"/>
              </w:numPr>
              <w:tabs>
                <w:tab w:val="left" w:pos="270"/>
              </w:tabs>
              <w:spacing w:after="0" w:line="240" w:lineRule="auto"/>
              <w:ind w:left="32" w:firstLine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Реализация комплекса мероприятий по обеспечению внедрения ФГОС общего образования и других инновационных проектов.</w:t>
            </w:r>
          </w:p>
          <w:p w:rsidR="00D15DD3" w:rsidRDefault="00D15DD3" w:rsidP="00D04265">
            <w:pPr>
              <w:pStyle w:val="4"/>
              <w:widowControl w:val="0"/>
              <w:numPr>
                <w:ilvl w:val="0"/>
                <w:numId w:val="4"/>
              </w:numPr>
              <w:tabs>
                <w:tab w:val="left" w:pos="270"/>
              </w:tabs>
              <w:spacing w:after="0" w:line="240" w:lineRule="auto"/>
              <w:ind w:left="32" w:firstLine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Содействие развитию общего и дополнительного образования.</w:t>
            </w:r>
          </w:p>
          <w:p w:rsidR="00D15DD3" w:rsidRDefault="00D15DD3" w:rsidP="00D04265">
            <w:pPr>
              <w:pStyle w:val="4"/>
              <w:widowControl w:val="0"/>
              <w:numPr>
                <w:ilvl w:val="0"/>
                <w:numId w:val="4"/>
              </w:numPr>
              <w:tabs>
                <w:tab w:val="left" w:pos="270"/>
              </w:tabs>
              <w:spacing w:after="0" w:line="240" w:lineRule="auto"/>
              <w:ind w:left="32" w:firstLine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Улучшение условий жизни и труда педагогических работников.</w:t>
            </w:r>
          </w:p>
          <w:p w:rsidR="00D15DD3" w:rsidRDefault="00D15DD3" w:rsidP="00D04265">
            <w:pPr>
              <w:pStyle w:val="4"/>
              <w:widowControl w:val="0"/>
              <w:numPr>
                <w:ilvl w:val="0"/>
                <w:numId w:val="4"/>
              </w:numPr>
              <w:tabs>
                <w:tab w:val="left" w:pos="270"/>
              </w:tabs>
              <w:spacing w:after="0" w:line="240" w:lineRule="auto"/>
              <w:ind w:left="32" w:firstLine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Сохранение и укрепление здоровья обучающихся    муниципальных образовательных организаций за счет увеличения охвата горячим питанием, повышения качества и безопасности питания.</w:t>
            </w:r>
          </w:p>
          <w:p w:rsidR="00D15DD3" w:rsidRDefault="00D15DD3" w:rsidP="00D04265">
            <w:pPr>
              <w:pStyle w:val="4"/>
              <w:widowControl w:val="0"/>
              <w:numPr>
                <w:ilvl w:val="0"/>
                <w:numId w:val="4"/>
              </w:numPr>
              <w:tabs>
                <w:tab w:val="left" w:pos="270"/>
              </w:tabs>
              <w:spacing w:after="0" w:line="240" w:lineRule="auto"/>
              <w:ind w:left="32" w:firstLine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Развитие кадрового потенциала системы образовательных организаций.</w:t>
            </w:r>
            <w:r>
              <w:rPr>
                <w:sz w:val="22"/>
                <w:szCs w:val="22"/>
              </w:rPr>
              <w:t xml:space="preserve"> </w:t>
            </w:r>
          </w:p>
          <w:p w:rsidR="00D15DD3" w:rsidRDefault="00D15DD3" w:rsidP="00D04265">
            <w:pPr>
              <w:pStyle w:val="4"/>
              <w:widowControl w:val="0"/>
              <w:numPr>
                <w:ilvl w:val="0"/>
                <w:numId w:val="4"/>
              </w:numPr>
              <w:tabs>
                <w:tab w:val="left" w:pos="270"/>
              </w:tabs>
              <w:spacing w:after="0" w:line="240" w:lineRule="auto"/>
              <w:ind w:left="32" w:firstLine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Создание условий для внедрения современной и безопасной цифровой образовательной среды, обеспечивающей формирование ценности к саморазвитию и самообразованию у обучающихся образовательных организаций всех видов и уровней, путем обновления информационно-коммуникационной инфраструктуры, подготовки кадров, создания федеральной цифровой платформы.</w:t>
            </w:r>
          </w:p>
          <w:p w:rsidR="00D15DD3" w:rsidRDefault="00D15DD3" w:rsidP="00D04265">
            <w:pPr>
              <w:pStyle w:val="4"/>
              <w:widowControl w:val="0"/>
              <w:numPr>
                <w:ilvl w:val="0"/>
                <w:numId w:val="4"/>
              </w:numPr>
              <w:tabs>
                <w:tab w:val="left" w:pos="270"/>
              </w:tabs>
              <w:spacing w:after="0" w:line="240" w:lineRule="auto"/>
              <w:ind w:left="32" w:firstLine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Содействие формированию современной и доступной среды в общеобразовательных организациях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Аргаяшского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муниципального района.</w:t>
            </w:r>
          </w:p>
          <w:p w:rsidR="00D15DD3" w:rsidRDefault="00D15DD3" w:rsidP="00D04265">
            <w:pPr>
              <w:pStyle w:val="4"/>
              <w:widowControl w:val="0"/>
              <w:numPr>
                <w:ilvl w:val="0"/>
                <w:numId w:val="4"/>
              </w:numPr>
              <w:tabs>
                <w:tab w:val="left" w:pos="270"/>
              </w:tabs>
              <w:spacing w:after="0" w:line="240" w:lineRule="auto"/>
              <w:ind w:left="32" w:firstLine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Развитие в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Аргаяшском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муниципальном районе качества общего образования путем внедрения национальной системы профессионального роста педагогических работников, охватывающей не менее 50 процентов учителей общеобразовательных организаций.</w:t>
            </w:r>
          </w:p>
          <w:p w:rsidR="00D15DD3" w:rsidRDefault="00D15DD3" w:rsidP="00D04265">
            <w:pPr>
              <w:pStyle w:val="4"/>
              <w:widowControl w:val="0"/>
              <w:numPr>
                <w:ilvl w:val="0"/>
                <w:numId w:val="4"/>
              </w:numPr>
              <w:tabs>
                <w:tab w:val="left" w:pos="270"/>
              </w:tabs>
              <w:spacing w:after="0" w:line="240" w:lineRule="auto"/>
              <w:ind w:left="32" w:firstLine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Проектирование модели единого методического пространства: от профессиональной подготовки и развития компетентностей до личностно-профессионального роста педагога.</w:t>
            </w:r>
          </w:p>
          <w:p w:rsidR="00D15DD3" w:rsidRDefault="00D15DD3" w:rsidP="00D04265">
            <w:pPr>
              <w:pStyle w:val="4"/>
              <w:widowControl w:val="0"/>
              <w:numPr>
                <w:ilvl w:val="0"/>
                <w:numId w:val="4"/>
              </w:numPr>
              <w:tabs>
                <w:tab w:val="left" w:pos="270"/>
                <w:tab w:val="left" w:pos="461"/>
              </w:tabs>
              <w:spacing w:after="0" w:line="240" w:lineRule="auto"/>
              <w:ind w:left="32" w:firstLine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Оборудование пунктов проведения экзаменов государственной итоговой аттестации по образовательным программам основного общего и среднего общего образования.</w:t>
            </w:r>
          </w:p>
          <w:p w:rsidR="00D15DD3" w:rsidRDefault="00D15DD3" w:rsidP="00D04265">
            <w:pPr>
              <w:pStyle w:val="4"/>
              <w:widowControl w:val="0"/>
              <w:numPr>
                <w:ilvl w:val="0"/>
                <w:numId w:val="4"/>
              </w:numPr>
              <w:tabs>
                <w:tab w:val="left" w:pos="270"/>
                <w:tab w:val="left" w:pos="461"/>
              </w:tabs>
              <w:spacing w:after="0" w:line="240" w:lineRule="auto"/>
              <w:ind w:left="32" w:firstLine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Выявление и поддержка талантливых учащихся, усиление воспитательной функции школы, формирование социально активной личности. </w:t>
            </w:r>
          </w:p>
          <w:p w:rsidR="00D15DD3" w:rsidRDefault="00D15DD3" w:rsidP="00D04265">
            <w:pPr>
              <w:pStyle w:val="4"/>
              <w:widowControl w:val="0"/>
              <w:numPr>
                <w:ilvl w:val="0"/>
                <w:numId w:val="4"/>
              </w:numPr>
              <w:tabs>
                <w:tab w:val="left" w:pos="270"/>
                <w:tab w:val="left" w:pos="461"/>
              </w:tabs>
              <w:spacing w:after="0" w:line="240" w:lineRule="auto"/>
              <w:ind w:left="32" w:firstLine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Формирование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профориентационных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компетенций обучающихся, обеспечивающих готовность к профессионально-образовательному выбору и его сопровождение.</w:t>
            </w:r>
          </w:p>
          <w:p w:rsidR="00D15DD3" w:rsidRDefault="00D15DD3" w:rsidP="00D04265">
            <w:pPr>
              <w:pStyle w:val="4"/>
              <w:widowControl w:val="0"/>
              <w:numPr>
                <w:ilvl w:val="0"/>
                <w:numId w:val="4"/>
              </w:numPr>
              <w:tabs>
                <w:tab w:val="left" w:pos="270"/>
                <w:tab w:val="left" w:pos="461"/>
              </w:tabs>
              <w:spacing w:after="0" w:line="240" w:lineRule="auto"/>
              <w:ind w:left="32" w:firstLine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/>
                <w:color w:val="000000"/>
                <w:kern w:val="0"/>
                <w:sz w:val="26"/>
                <w:szCs w:val="26"/>
                <w:lang w:eastAsia="ru-RU"/>
              </w:rPr>
              <w:t xml:space="preserve">Создание в общеобразовательных организациях, </w:t>
            </w:r>
            <w:r>
              <w:rPr>
                <w:rFonts w:ascii="Times New Roman" w:eastAsia="Calibri" w:hAnsi="Times New Roman"/>
                <w:color w:val="000000"/>
                <w:kern w:val="0"/>
                <w:sz w:val="26"/>
                <w:szCs w:val="26"/>
                <w:lang w:eastAsia="ru-RU"/>
              </w:rPr>
              <w:lastRenderedPageBreak/>
              <w:t>расположенных в сельской местности, условий для занятий физической культурой и спортом.</w:t>
            </w:r>
          </w:p>
          <w:p w:rsidR="00D15DD3" w:rsidRDefault="00D15DD3" w:rsidP="00D04265">
            <w:pPr>
              <w:pStyle w:val="4"/>
              <w:widowControl w:val="0"/>
              <w:numPr>
                <w:ilvl w:val="0"/>
                <w:numId w:val="4"/>
              </w:numPr>
              <w:tabs>
                <w:tab w:val="left" w:pos="270"/>
                <w:tab w:val="left" w:pos="461"/>
              </w:tabs>
              <w:spacing w:after="0" w:line="240" w:lineRule="auto"/>
              <w:ind w:left="32" w:firstLine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Развитие востребованной системы оценки качества образования и образовательных результатов.</w:t>
            </w:r>
          </w:p>
          <w:p w:rsidR="00D15DD3" w:rsidRDefault="00D15DD3" w:rsidP="00D0426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D15DD3" w:rsidRDefault="00D15DD3" w:rsidP="00D0426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Подпрограмма 3 </w:t>
            </w:r>
          </w:p>
          <w:p w:rsidR="00D15DD3" w:rsidRDefault="00D15DD3" w:rsidP="00D04265">
            <w:pPr>
              <w:widowControl w:val="0"/>
              <w:numPr>
                <w:ilvl w:val="0"/>
                <w:numId w:val="9"/>
              </w:numPr>
              <w:tabs>
                <w:tab w:val="left" w:pos="315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Обеспечение эффективности и качества дополнительного образования детей. </w:t>
            </w:r>
          </w:p>
          <w:p w:rsidR="00D15DD3" w:rsidRDefault="00D15DD3" w:rsidP="00D04265">
            <w:pPr>
              <w:pStyle w:val="4"/>
              <w:widowControl w:val="0"/>
              <w:numPr>
                <w:ilvl w:val="0"/>
                <w:numId w:val="9"/>
              </w:numPr>
              <w:tabs>
                <w:tab w:val="left" w:pos="27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bCs/>
                <w:sz w:val="26"/>
                <w:szCs w:val="26"/>
              </w:rPr>
              <w:t>Обеспечение для детей в возрасте от 5 до 18 лет доступных для каждого качественных условий для воспитания гармонично развитой и социально ответственной личности путем увеличения охвата дополнительным образованием до 80% от общего числа детей, обновления содержания и методов дополнительного образования детей, развития кадрового потенциала и модернизации инфраструктуры системы дополнительного образования детей.</w:t>
            </w:r>
            <w:proofErr w:type="gramEnd"/>
          </w:p>
          <w:p w:rsidR="00D15DD3" w:rsidRDefault="00D15DD3" w:rsidP="00D0426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D15DD3" w:rsidRDefault="00D15DD3" w:rsidP="00D0426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Подпрограмма 4 </w:t>
            </w:r>
          </w:p>
          <w:p w:rsidR="00D15DD3" w:rsidRDefault="00D15DD3" w:rsidP="00D04265">
            <w:pPr>
              <w:pStyle w:val="4"/>
              <w:widowControl w:val="0"/>
              <w:numPr>
                <w:ilvl w:val="0"/>
                <w:numId w:val="5"/>
              </w:numPr>
              <w:tabs>
                <w:tab w:val="left" w:pos="270"/>
              </w:tabs>
              <w:spacing w:after="0" w:line="240" w:lineRule="auto"/>
              <w:ind w:left="32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Повышение оздоровительного эффекта от пребывания детей в учреждениях и организациях, обеспечивающих отдых и оздоровление детей.  </w:t>
            </w:r>
          </w:p>
          <w:p w:rsidR="00D15DD3" w:rsidRDefault="00D15DD3" w:rsidP="00D04265">
            <w:pPr>
              <w:pStyle w:val="4"/>
              <w:widowControl w:val="0"/>
              <w:numPr>
                <w:ilvl w:val="0"/>
                <w:numId w:val="5"/>
              </w:numPr>
              <w:tabs>
                <w:tab w:val="left" w:pos="270"/>
              </w:tabs>
              <w:spacing w:after="0" w:line="240" w:lineRule="auto"/>
              <w:ind w:left="32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Развитие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малозатратных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форм отдыха и оздоровления детей и подростков.</w:t>
            </w:r>
          </w:p>
          <w:p w:rsidR="00D15DD3" w:rsidRDefault="00D15DD3" w:rsidP="00D04265">
            <w:pPr>
              <w:pStyle w:val="4"/>
              <w:widowControl w:val="0"/>
              <w:numPr>
                <w:ilvl w:val="0"/>
                <w:numId w:val="5"/>
              </w:numPr>
              <w:tabs>
                <w:tab w:val="left" w:pos="270"/>
              </w:tabs>
              <w:spacing w:after="0" w:line="240" w:lineRule="auto"/>
              <w:ind w:left="32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Повышение качества обеспечения отдыха и оздоровления детей, находящихся в трудной жизненной ситуации (детей-сирот, детей, оставшихся без попечения родителей, детей-инвалидов, детей из малообеспеченных семей), подростков, состоящих на профилактическом учете в органах внутренних дел.</w:t>
            </w:r>
          </w:p>
          <w:p w:rsidR="00D15DD3" w:rsidRDefault="00D15DD3" w:rsidP="00D04265">
            <w:pPr>
              <w:pStyle w:val="4"/>
              <w:widowControl w:val="0"/>
              <w:numPr>
                <w:ilvl w:val="0"/>
                <w:numId w:val="5"/>
              </w:numPr>
              <w:tabs>
                <w:tab w:val="left" w:pos="270"/>
              </w:tabs>
              <w:spacing w:after="0" w:line="240" w:lineRule="auto"/>
              <w:ind w:left="32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Создание условий для выполнения санитарно-гигиенических норм и правил, эпидемиологической и противопожарной безопасности в местах организации отдыха и оздоровления.</w:t>
            </w:r>
          </w:p>
          <w:p w:rsidR="00D15DD3" w:rsidRDefault="00D15DD3" w:rsidP="00D04265">
            <w:pPr>
              <w:pStyle w:val="4"/>
              <w:widowControl w:val="0"/>
              <w:numPr>
                <w:ilvl w:val="0"/>
                <w:numId w:val="5"/>
              </w:numPr>
              <w:tabs>
                <w:tab w:val="left" w:pos="270"/>
              </w:tabs>
              <w:spacing w:after="0" w:line="240" w:lineRule="auto"/>
              <w:ind w:left="32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Профилактика безнадзорности и правонарушений несовершеннолетних в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Аргаяшском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муниципальном районе.</w:t>
            </w:r>
          </w:p>
          <w:p w:rsidR="00D15DD3" w:rsidRDefault="00D15DD3" w:rsidP="00D0426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5</w:t>
            </w:r>
          </w:p>
          <w:p w:rsidR="00D15DD3" w:rsidRDefault="00D15DD3" w:rsidP="00D04265">
            <w:pPr>
              <w:pStyle w:val="4"/>
              <w:widowControl w:val="0"/>
              <w:numPr>
                <w:ilvl w:val="0"/>
                <w:numId w:val="6"/>
              </w:numPr>
              <w:tabs>
                <w:tab w:val="left" w:pos="31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Реализация мероприятий, направленных на развитие и функционирование системы образования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Аргаяшского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района.</w:t>
            </w:r>
          </w:p>
          <w:p w:rsidR="00D15DD3" w:rsidRDefault="00D15DD3" w:rsidP="00D0426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6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7"/>
              </w:numPr>
              <w:tabs>
                <w:tab w:val="left" w:pos="285"/>
              </w:tabs>
              <w:spacing w:after="0" w:line="240" w:lineRule="auto"/>
              <w:ind w:left="32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Организация проведения ремонтных работ, мероприятий по выполнению предписаний контрольно-надзорных органов.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7"/>
              </w:numPr>
              <w:tabs>
                <w:tab w:val="left" w:pos="285"/>
              </w:tabs>
              <w:spacing w:after="0" w:line="240" w:lineRule="auto"/>
              <w:ind w:left="32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Повышение конструктивной надежности и безопасности зданий, сооружений и инженерных систем образовательных учреждений. </w:t>
            </w:r>
          </w:p>
          <w:p w:rsidR="00D15DD3" w:rsidRDefault="00D15DD3" w:rsidP="00D04265">
            <w:pPr>
              <w:pStyle w:val="2"/>
              <w:widowControl w:val="0"/>
              <w:tabs>
                <w:tab w:val="left" w:pos="315"/>
                <w:tab w:val="left" w:pos="380"/>
              </w:tabs>
              <w:spacing w:after="0" w:line="240" w:lineRule="auto"/>
              <w:ind w:left="39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15DD3" w:rsidTr="00D04265">
        <w:trPr>
          <w:trHeight w:val="1401"/>
        </w:trPr>
        <w:tc>
          <w:tcPr>
            <w:tcW w:w="2699" w:type="dxa"/>
          </w:tcPr>
          <w:p w:rsidR="00D15DD3" w:rsidRDefault="00D15DD3" w:rsidP="00D04265">
            <w:pPr>
              <w:pStyle w:val="Head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Целевые индикаторы и показатели мун</w:t>
            </w:r>
            <w:r>
              <w:rPr>
                <w:rFonts w:ascii="Times New Roman" w:hAnsi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/>
                <w:sz w:val="26"/>
                <w:szCs w:val="26"/>
              </w:rPr>
              <w:t>ципальной програ</w:t>
            </w: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>
              <w:rPr>
                <w:rFonts w:ascii="Times New Roman" w:hAnsi="Times New Roman"/>
                <w:sz w:val="26"/>
                <w:szCs w:val="26"/>
              </w:rPr>
              <w:t>мы</w:t>
            </w:r>
          </w:p>
          <w:p w:rsidR="00D15DD3" w:rsidRDefault="00D15DD3" w:rsidP="00D04265">
            <w:pPr>
              <w:pStyle w:val="Head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65" w:type="dxa"/>
          </w:tcPr>
          <w:p w:rsidR="00D15DD3" w:rsidRDefault="00D15DD3" w:rsidP="00D04265">
            <w:pPr>
              <w:widowControl w:val="0"/>
              <w:spacing w:before="120" w:after="12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1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Удельный вес численности воспитанников ДОО в возрасте 3 - 7 лет, охваченных образовательными программами дошкольного образования, соответствующими требованиям ФГОС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ДО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(процент).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Охват детей 1 - 7 лет дошкольным образованием (процент).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Доля детей, на которых выплачивается компенсация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 (процент).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Доля детей-инвалидов, относящейся к 1 и 2 группе инвалидности,  и родителей, на которых выплачивается компенсация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 (процент).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Количество детей из малообеспеченных, неблагополучных семей, а также семей, оказавшихся в трудной жизненной ситуации, получающих дошкольное образование в муниципальных дошкольных образовательных организациях (человек). 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Доля образовательных организаций, в которых созданы условия для получения детьми-инвалидами качественного образования, в общем количестве образовательных организаций (процент).</w:t>
            </w:r>
          </w:p>
          <w:p w:rsidR="00D15DD3" w:rsidRDefault="00D15DD3" w:rsidP="00D04265">
            <w:pPr>
              <w:widowControl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2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Доля обучающихся, успешно прошедших государственную итоговую аттестацию по образовательным программам основного общего образования и получивших аттестат об основном общем образовании, в общей численности обучающихся общеобразовательных организаций, сдававших экзамены (процент).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Доля обучающихся, успешно прошедших государственную итоговую аттестацию по образовательным программам среднего общего образования и получивших аттестат о среднем общем образовании, в общей численности обучающихся общеобразовательных организаций, сдававших экзамены (процент).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Удельный вес численности обучающихся в муниципальных общеобразовательных организациях, которым предоставлена возможность обучаться в соответствии с основными требованиями (с учетом федеральных государственных образовательных стандартов), в общей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численности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обучающихся в муниципальных общеобразовательных организациях (процент).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Охват детей, обеспеченных бесплатным начальным общим, основным общим и средним общим образованием (процент).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Доля обучающихся, обеспеченных подвозом до образовательных организаций (процент).</w:t>
            </w:r>
            <w:proofErr w:type="gramEnd"/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приобретенных транспортных сре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дств дл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я перевозки обучающихся (единиц).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Доля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, обеспеченных питанием, в общем количестве обучающихся (процент).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Доля обучающихся муниципальных общеобразовательных организаций по программам начального общего образования, обеспеченных молоком (молочной продукцией), в общем количестве обучающихся муниципальных </w:t>
            </w:r>
            <w:proofErr w:type="spellStart"/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общеобразо-вательных</w:t>
            </w:r>
            <w:proofErr w:type="spellEnd"/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организаций по программам начального общего образования (процент).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 (процент).</w:t>
            </w:r>
            <w:proofErr w:type="gramEnd"/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Доля обучающихся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6"/>
                <w:szCs w:val="26"/>
              </w:rPr>
              <w:t>, охваченных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6"/>
                <w:szCs w:val="26"/>
              </w:rPr>
              <w:t>мероприятиями, направленными на раннюю профессиональную ориентацию, в том числе в рамках программы «Билет в будущее».</w:t>
            </w:r>
            <w:proofErr w:type="gramEnd"/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sz w:val="26"/>
                <w:szCs w:val="26"/>
              </w:rPr>
              <w:t xml:space="preserve">Совершенствование (модернизация) структуры методической службы. 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Доля учителей, эффективно использующих современные образовательные технологии (в том числе информационно-коммуникационные технологии) в профессиональной деятельности, в общей численности учителей.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Доля учителей, прошедших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обучение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по новым адресным моделям повышения квалификации и имевшим возможность выбора программ обучения, в общей численности учителей.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проведенных мероприятий в области образования для педагогических работников (единиц).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 xml:space="preserve">Численность детей, обучающихся по программам дополнительного образования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естественно-научной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и технологической направленностей на базе центра "Точка роста" (человек).</w:t>
            </w:r>
            <w:proofErr w:type="gramEnd"/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Доля педагогических работников центра "Точка роста", прошедших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обучение по программам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программ повышения квалификации (процент).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Внедрение в общеобразовательной организации целевой модели цифровой образовательной среды (единиц).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Доля сотрудников и педагогов общеобразовательной организации, в которой внедряется целевая модель цифровой образовательной среды, прошедших повышение квалификации по внедрению целевой модели цифровой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образовательной среды (процент).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Снижение доли расходов на выполнение организационно-управленческих процессов в общеобразовательной организации (процент).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Доля образовательных организаций, расположенных на территории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Аргаяшского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района, обеспеченных Интернет-соединением со скоростью соединения не менее 50Мб/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для образовательных организаций, расположенных в сельской местности, а также гарантированным </w:t>
            </w:r>
            <w:proofErr w:type="spellStart"/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Интернет-трафиком</w:t>
            </w:r>
            <w:proofErr w:type="spellEnd"/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(процент).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Доля образовательных организаций, в которых созданы условия для получения детьми-инвалидами качественного образования, в общем количестве образовательных организаций (процент).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Доля использованной муниципальным образованием субсидии местному бюджету на оборудование ППЭ в общем размере субсидии местному бюджету на оборудование ППЭ, перечисленной муниципальному образованию (процент). 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 xml:space="preserve">Доля экзаменов государственной итоговой аттестации по образовательным программам среднего общего образования, проведенных в муниципальном образовании в соответствии с Порядком проведения государственной итоговой аттестации по образовательным программам среднего общего образования, утвержденным приказом Министерства просвещения Российской Федерации и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Рособрнадзора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от 07 ноября 2018 г. № 190/1512 «Об утверждении Порядка проведения государственной итоговой аттестации по образовательным программам среднего общего образования», в общем количестве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проведенных в муниципальном образовании экзаменов государственной итоговой аттестации по образовательным программам среднего общего образования (процент).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Удельный вес численности обучающихся по программам начального общего, основного общего и среднего общего образования, участвующих в олимпиадах и конкурсах различного уровня, в общей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численности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обучающихся по программам начального общего, основного общего и среднего общего образования (процент).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Доля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, занимающихся физической культурой и спортом во внеурочное время (по каждому уровню общего образования), за исключением дошкольного образования.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общеобразовательных организаций, на базе которых вновь созданы школьные спортивные клубы, для занятий физической культурой и спортом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проведенных мероприятий для детей и молодежи (единиц).</w:t>
            </w:r>
          </w:p>
          <w:p w:rsidR="00D15DD3" w:rsidRDefault="00D15DD3" w:rsidP="00D04265">
            <w:pPr>
              <w:pStyle w:val="2"/>
              <w:widowControl w:val="0"/>
              <w:tabs>
                <w:tab w:val="left" w:pos="315"/>
                <w:tab w:val="left" w:pos="38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15DD3" w:rsidRDefault="00D15DD3" w:rsidP="00D04265">
            <w:pPr>
              <w:widowControl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Подпрограмма 3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Охват детей в возрасте 5 - 18 лет, имеющих возможность получать доступные качественные услуги дополнительного образования, в общей численности детей в возрасте 5 - 18 лет (процент).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Доля победителей, призеров, дипломантов всероссийских мероприятий художественно-эстетической, физкультурно-спортивной, интеллектуальной, эколого-биологической, технической, военно-патриотической направленностей в общем количестве участников всероссийских мероприятий среди обучающихся муниципальных образовательных организаций, реализующих программы начального, основного общего, среднего общего и дополнительного общего образования (процент).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Доля победителей и призеров школьного, муниципального, регионального, заключительного этапа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всероссийской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/ областной олимпиад школьников (процент).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Количество проведенных муниципальных мероприятий (единиц).</w:t>
            </w:r>
          </w:p>
          <w:p w:rsidR="00D15DD3" w:rsidRDefault="00D15DD3" w:rsidP="00D04265">
            <w:pPr>
              <w:widowControl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4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Доля детей, охваченных отдыхом в каникулярное время в организациях отдыха и оздоровления детей, в общем числе детей, охваченных отдыхом в организациях отдыха детей и их оздоровления всех типов (процент).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Доля детей, охваченных отдыхом в каникулярное время в лагерях, с дневным пребыванием детей, в общем числе детей, охваченных отдыхом в организациях отдыха детей и их оздоровления всех типов (процент).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Доля несовершеннолетних, охваченных профильными сменами, в общем числе детей, охваченных отдыхом в  организациях отдыха детей и их оздоровления всех типов (процент).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Доля несовершеннолетних, состоящих на профилактическом учете в органах внутренних дел, охваченных отдыхом в каникулярное время в организациях отдыха и оздоровления детей, лагерях с дневным пребыванием детей, в общем числе несовершеннолетних, состоящих на профилактическом учете в органах внутренних дел (процент).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Доля несовершеннолетних, охваченных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малозатратными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формами отдыха, в общем числе детей, охваченных отдыхом в организациях отдыха детей и их оздоровления всех типов (процент).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Готовность лагеря к летней оздоровительной компании (процент).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Доля обучающихся в образовательных организациях, состоящих на учете в отделе по делам несовершеннолетних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и защите их прав, принявших участие в профильных сменах (процент).</w:t>
            </w:r>
          </w:p>
          <w:p w:rsidR="00D15DD3" w:rsidRDefault="00D15DD3" w:rsidP="00D04265">
            <w:pPr>
              <w:widowControl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5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Обеспечение содержания деятельности Управления образования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Аргаяшского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 (процент).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Доля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, которым оказано психолого-педагогическое консультирование от общего числа обучающихся обратившихся за психолого-педагогическим консультированием (процент).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Доля детей-инвалидов, охваченных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обучением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по основным общеобразовательным программам, родители (законные представители) которых получают компенсацию за обучение детей-инвалидов на дому, от общего числа заявившихся на получение компенсации (процент).</w:t>
            </w:r>
          </w:p>
          <w:p w:rsidR="00D15DD3" w:rsidRDefault="00D15DD3" w:rsidP="00D04265">
            <w:pPr>
              <w:widowControl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6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Доля образовательных организаций, в которых проведены мероприятия по обеспечению повышения уровня противопожарной безопасности (процент).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Доля образовательных организаций, в которых проведены мероприятия по обеспечению антитеррористической безопасности (процент).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Доля образовательных организаций, в которых проведены мероприятия по обеспечению санитарно-эпидемиологических правил и нормативов (процент).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Доля образовательных организаций, в которых проведены мероприятия по обеспечению повышения конструктивной надежности и безопасности зданий, сооружений и инженерных систем образовательных учреждений (процент).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 xml:space="preserve">Снижение удельного веса численности обучающихся в общеобразовательных организациях, расположенных на территории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Аргаяшского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района, занимающихся в зданиях, требующих капитального ремонта или реконструкции (процент).</w:t>
            </w:r>
            <w:proofErr w:type="gramEnd"/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Доля капитально отремонтированных зданий муниципальных общеобразовательных организаций в общем количестве зданий муниципальных общеобразовательных организаций, требующих проведения капитального ремонта (процент).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муниципальных образовательных организаций, в которых отремонтированы спортивные залы (единиц).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Количество оснащенных медицинских блоков в дошкольных образовательных организациях (единиц). 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Количество оконных блоков, замененных в рамках проведения ремонтных работ по замене оконных блоков в муниципальных общеобразовательных организациях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(единиц).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Доля зданий муниципальных общеобразовательных организаций, в которых проведены ремонтные работы по замене оконных блоков, в общем количестве зданий муниципальных общеобразовательных организаций, требующих проведения ремонтных работ по замене оконных блоков в муниципальных общеобразовательных организациях (процент).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Доля выполненных ремонтов в зданиях муниципальных организациях дополнительного образования в общем количестве зданий муниципальных организациях дополнительного образования, запланированных к проведению ремонта в текущем году (процент).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Доля отремонтированных зданий муниципальных организаций дополнительного образования в общем количестве зданий муниципальных организаций дополнительного образования, требующих проведения ремонтов (процент).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Доля капитально отремонтированных зданий и сооружений муниципальных дошкольных образовательных организаций в общем количестве зданий и сооружений муниципальных дошкольных образовательных организаций, требующих проведение капитальных ремонтов (процент).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Доля выполненных ремонтов в зданиях муниципальных организациях отдыха и оздоровления детей в общем количестве зданий муниципальных организациях отдыха и оздоровления детей, запланированных к проведению ремонта в текущем году (процент).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3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Доля отремонтированных зданий муниципальных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организациях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отдыха и оздоровления детей в общем количестве зданий муниципальных организациях отдыха и оздоровления детей, требующих проведения ремонтов (процент).</w:t>
            </w:r>
          </w:p>
          <w:p w:rsidR="00D15DD3" w:rsidRDefault="00D15DD3" w:rsidP="00D04265">
            <w:pPr>
              <w:pStyle w:val="2"/>
              <w:widowControl w:val="0"/>
              <w:tabs>
                <w:tab w:val="left" w:pos="315"/>
                <w:tab w:val="left" w:pos="38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15DD3" w:rsidTr="00D04265">
        <w:trPr>
          <w:trHeight w:val="395"/>
        </w:trPr>
        <w:tc>
          <w:tcPr>
            <w:tcW w:w="2699" w:type="dxa"/>
          </w:tcPr>
          <w:p w:rsidR="00D15DD3" w:rsidRDefault="00D15DD3" w:rsidP="00D0426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Этапы и сроки реализации муниципальной программы </w:t>
            </w:r>
          </w:p>
          <w:p w:rsidR="00D15DD3" w:rsidRDefault="00D15DD3" w:rsidP="00D0426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365" w:type="dxa"/>
          </w:tcPr>
          <w:p w:rsidR="00D15DD3" w:rsidRDefault="00D15DD3" w:rsidP="00D0426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MS Mincho" w:hAnsi="Times New Roman"/>
                <w:sz w:val="26"/>
                <w:szCs w:val="26"/>
              </w:rPr>
              <w:t>2024-2026 год</w:t>
            </w:r>
          </w:p>
        </w:tc>
      </w:tr>
      <w:tr w:rsidR="00D15DD3" w:rsidTr="00D04265">
        <w:trPr>
          <w:trHeight w:val="443"/>
        </w:trPr>
        <w:tc>
          <w:tcPr>
            <w:tcW w:w="2699" w:type="dxa"/>
          </w:tcPr>
          <w:p w:rsidR="00D15DD3" w:rsidRDefault="00D15DD3" w:rsidP="00D0426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Объемы бюджетных ассигнований муниципальной программы</w:t>
            </w:r>
          </w:p>
        </w:tc>
        <w:tc>
          <w:tcPr>
            <w:tcW w:w="7365" w:type="dxa"/>
          </w:tcPr>
          <w:p w:rsidR="00D15DD3" w:rsidRDefault="00D15DD3" w:rsidP="00D04265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6"/>
                <w:szCs w:val="26"/>
              </w:rPr>
            </w:pPr>
            <w:r>
              <w:rPr>
                <w:rFonts w:ascii="Times New Roman" w:eastAsia="MS Mincho" w:hAnsi="Times New Roman"/>
                <w:sz w:val="26"/>
                <w:szCs w:val="26"/>
              </w:rPr>
              <w:t xml:space="preserve">Общий объем финансирования мероприятий Программы в 2024-2026 годах составляет   3 310 025,7 тыс. рублей, в том числе по годам: </w:t>
            </w:r>
          </w:p>
          <w:p w:rsidR="00D15DD3" w:rsidRDefault="00D15DD3" w:rsidP="00D0426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2024 год – 1 087 203,4 тыс. рублей</w:t>
            </w:r>
          </w:p>
          <w:p w:rsidR="00D15DD3" w:rsidRDefault="00D15DD3" w:rsidP="00D0426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2025 год – 1 060 037,4 тыс. рублей</w:t>
            </w:r>
          </w:p>
          <w:p w:rsidR="00D15DD3" w:rsidRDefault="00D15DD3" w:rsidP="00D0426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2026 год – 1 062 784,9 тыс. рублей</w:t>
            </w:r>
          </w:p>
          <w:p w:rsidR="00D15DD3" w:rsidRDefault="00D15DD3" w:rsidP="00D04265">
            <w:pPr>
              <w:spacing w:after="0" w:line="240" w:lineRule="auto"/>
              <w:rPr>
                <w:rFonts w:ascii="Times New Roman" w:hAnsi="Times New Roman"/>
                <w:color w:val="FF0000"/>
                <w:sz w:val="26"/>
                <w:szCs w:val="26"/>
                <w:lang w:eastAsia="ru-RU"/>
              </w:rPr>
            </w:pPr>
          </w:p>
        </w:tc>
      </w:tr>
      <w:tr w:rsidR="00D15DD3" w:rsidTr="00D04265">
        <w:trPr>
          <w:trHeight w:val="1543"/>
        </w:trPr>
        <w:tc>
          <w:tcPr>
            <w:tcW w:w="2699" w:type="dxa"/>
          </w:tcPr>
          <w:p w:rsidR="00D15DD3" w:rsidRDefault="00D15DD3" w:rsidP="00D04265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</w:p>
          <w:p w:rsidR="00D15DD3" w:rsidRDefault="00D15DD3" w:rsidP="00D04265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Ожидаемые результ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</w:rPr>
              <w:t>ты реализации мун</w:t>
            </w:r>
            <w:r>
              <w:rPr>
                <w:rFonts w:ascii="Times New Roman" w:hAnsi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/>
                <w:sz w:val="26"/>
                <w:szCs w:val="26"/>
              </w:rPr>
              <w:t>ципальной програ</w:t>
            </w: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>
              <w:rPr>
                <w:rFonts w:ascii="Times New Roman" w:hAnsi="Times New Roman"/>
                <w:sz w:val="26"/>
                <w:szCs w:val="26"/>
              </w:rPr>
              <w:t>мы</w:t>
            </w:r>
          </w:p>
          <w:p w:rsidR="00D15DD3" w:rsidRDefault="00D15DD3" w:rsidP="00D04265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65" w:type="dxa"/>
          </w:tcPr>
          <w:p w:rsidR="00D15DD3" w:rsidRDefault="00D15DD3" w:rsidP="00D04265">
            <w:pPr>
              <w:widowControl w:val="0"/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15DD3" w:rsidRDefault="00D15DD3" w:rsidP="00D04265">
            <w:pPr>
              <w:widowControl w:val="0"/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Реализация мероприятий должна обеспечить достижение к 2024 году следующих целевых показателей:</w:t>
            </w:r>
          </w:p>
          <w:p w:rsidR="00D15DD3" w:rsidRDefault="00D15DD3" w:rsidP="00D04265">
            <w:pPr>
              <w:widowControl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1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Сохранение удельного веса численности воспитанников ДОО в возрасте 3 - 7 лет, охваченных образовательными программами дошкольного образования, соответствующими требованиям ФГОС ДО 100%.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Сохранение доли детей 1 - 7 лет, охваченных дошкольным образованием на уровне 59,3 %.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Увеличение доли детей, на которых выплачивается компенсация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 на уровне 100 %.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Сохранение доли детей-инвалидов, относящейся к 1 и 2 группе инвалидности, и родителей, на которых выплачивается компенсация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 на уровне 100%.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Количество детей из малообеспеченных, неблагополучных семей, а также семей, оказавшихся в трудной жизненной ситуации, получающих дошкольное образование в муниципальных дошкольных образовательных организациях – 370 человек. 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Увеличение доли образовательных организаций, в которых созданы условия для получения детьми-инвалидами качественного образования, в общем количестве образовательных организаций до 7,3%.</w:t>
            </w:r>
          </w:p>
          <w:p w:rsidR="00D15DD3" w:rsidRDefault="00D15DD3" w:rsidP="00D04265">
            <w:pPr>
              <w:widowControl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2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Сохранение доли обучающихся, успешно прошедших государственную итоговую аттестацию по образовательным программам основного общего образования и получивших аттестат об основном общем образовании, в общей численности обучающихся общеобразовательных организаций, сдававших экзамены на уровне 90%.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Сохранение доли обучающихся, успешно прошедших государственную итоговую аттестацию по образовательным программам среднего общего образования и получивших аттестат о среднем общем образовании, в общей численности обучающихся общеобразовательных организаций, сдававших экзамены на уровне 98%.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 Увеличение удельного веса численности обучающихся в муниципальных общеобразовательных организациях, которым предоставлена возможность обучаться в соответствии с основными требованиями (с учетом федеральных государственных образовательных стандартов), в общей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численности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обучающихся в муниципальных общеобразовательных организациях до 100%.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Увеличение доли обучающихся, занимающихся физической культурой и спортом во внеурочное время (по каждому уровню общего образования), за исключением дошкольного образования до 0,9 процентов.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Увеличение количества общеобразовательных организаций, на базе которых будут вновь созданы школьные спортивные клубы, для занятий физической культурой и спортом до 2 единиц.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Увеличение доли обучающихся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6"/>
                <w:szCs w:val="26"/>
              </w:rPr>
              <w:t>, охваченных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6"/>
                <w:szCs w:val="26"/>
              </w:rPr>
              <w:t>мероприятиями, направленными на раннюю профессиональную ориентацию, в том числе в рамках программы «Билет в будущее»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6"/>
                <w:szCs w:val="26"/>
              </w:rPr>
              <w:t>к 2025 году до 37 %.</w:t>
            </w:r>
            <w:proofErr w:type="gramEnd"/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sz w:val="26"/>
                <w:szCs w:val="26"/>
              </w:rPr>
              <w:t xml:space="preserve">Совершенствование (модернизация) структуры методической службы. 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Увеличение доли учителей, прошедших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обучение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по новым адресным моделям повышения квалификации и имевшим возможность выбора программ обучения, в общей численности учителей до 90 процентов.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Сохранение охвата детей, обеспеченных бесплатным начальным общим, основным общим и средним общим образованием на уровне 100%.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Сохранение доли обучающихся, обеспеченных подвозом до образовательных организаций на уровне 100%.</w:t>
            </w:r>
            <w:proofErr w:type="gramEnd"/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приобретенных транспортных сре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дств дл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я перевозки обучающихся – 4 ед.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Сохранение доли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, обеспеченных питанием, в общем количестве обучающихся на уровне 100%.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Сохранение доли обучающихся муниципальных общеобразовательных организаций по программам начального общего образования, обеспеченных молоком (молочной продукцией), в общем количестве обучающихся муниципальных общеобразовательных организаций по программам начального общего образования на уровне 100%.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 xml:space="preserve">Сохранение доли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образовательных организациях на уровне 100%.</w:t>
            </w:r>
            <w:proofErr w:type="gramEnd"/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проведенных мероприятий в области образования для педагогических работников – 40 ед.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Доля педагогических работников центра «Точка роста», прошедших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обучение по программам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повышения квалификации на уровне 100 %.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Сохранение доли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детей-инвалидов школьного возраста на уровне 100%.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Количество общеобразовательной организации, в которых внедрена целевая модель цифровой образовательной среды – 24 ед.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Увеличение доли сотрудников и педагогов общеобразовательной организации, в которой внедряется целевая модель цифровой образовательной среды, прошедших повышение квалификации по внедрению целевой модели цифровой образовательной среды до 100%.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Снижение доли расходов на выполнение организационно-управленческих процессов в общеобразовательной организации на 2%.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Увеличение доли образовательных организаций, расположенных на территории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Аргаяшского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района, обеспеченных Интернет-соединением со скоростью соединения не менее 50Мб/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для образовательных организаций, расположенных в сельской местности, а также гарантированным </w:t>
            </w:r>
            <w:proofErr w:type="spellStart"/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Интернет-трафиком</w:t>
            </w:r>
            <w:proofErr w:type="spellEnd"/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до100%.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Сохранение доли образовательных организаций, в которых созданы условия для получения детьми-инвалидами качественного образования, в общем количестве образовательных организаций на уровне  8,7%.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Увеличение доли использованной муниципальным образованием субсидии местному бюджету на оборудование ППЭ в общем размере субсидии местному бюджету на оборудование ППЭ, перечисленной муниципальному образованию на 100%. 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 xml:space="preserve">Доля экзаменов государственной итоговой аттестации по образовательным программам среднего общего образования, проведенных в муниципальном образовании в соответствии с Порядком проведения государственной итоговой аттестации по образовательным программам среднего общего образования, утвержденным приказом Министерства просвещения Российской Федерации и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Рособрнадзора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от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07 ноября 2018г. № 190/1512 «Об утверждении Порядка проведения государственной итоговой аттестации по образовательным программам среднего общего образования», в общем количестве проведенных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в муниципальном образовании экзаменов государственной итоговой аттестации по образовательным программам среднего общего образования на уровне 100%.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Увеличение удельного веса численности обучающихся по программам начального общего, основного общего и среднего общего образования, участвующих в олимпиадах и конкурсах различного уровня, в общей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численности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обучающихся по программам начального общего, основного общего и среднего общего образования до 47%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проведенных мероприятий для детей и молодежи – 40 ед.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/>
                <w:spacing w:val="-2"/>
                <w:sz w:val="26"/>
                <w:szCs w:val="26"/>
              </w:rPr>
              <w:t xml:space="preserve">Доведение общеобразовательных организаций, в которых созданы и функционируют центры образования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pacing w:val="-2"/>
                <w:sz w:val="26"/>
                <w:szCs w:val="26"/>
              </w:rPr>
              <w:t>естественно-научной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pacing w:val="-2"/>
                <w:sz w:val="26"/>
                <w:szCs w:val="26"/>
              </w:rPr>
              <w:t xml:space="preserve"> и технологической направленностей к 2025 году до 6 единиц.</w:t>
            </w:r>
          </w:p>
          <w:p w:rsidR="00D15DD3" w:rsidRDefault="00D15DD3" w:rsidP="00D04265">
            <w:pPr>
              <w:widowControl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3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Увеличение охвата детей в возрасте 5 - 18 лет программами дополнительного образования до 80%.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Охват детей, обучающихся по программам дополнительного образования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естественно-научной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и технологической направленностей на базе центра «Точка роста" в количестве 3260 человек.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Сохранение доли победителей, призеров, дипломантов всероссийских мероприятий художественно-эстетической, физкультурно-спортивной, интеллектуальной, эколого-биологической, технической, военно-патриотической направленностей в общем количестве участников всероссийских мероприятий среди обучающихся муниципальных образовательных организаций, реализующих программы начального, основного общего, среднего общего и дополнительного общего образования.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Сохранение доли победителей и призеров школьного, муниципального, регионального, заключительного этапа всероссийской/областной олимпиад школьников.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проведенных муниципальных мероприятий – 40 ед.</w:t>
            </w:r>
          </w:p>
          <w:p w:rsidR="00D15DD3" w:rsidRDefault="00D15DD3" w:rsidP="00D04265">
            <w:pPr>
              <w:widowControl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4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Доля детей, охваченных отдыхом в каникулярное время в организациях отдыха и оздоровления детей, в общем числе детей, охваченных отдыхом в организациях отдыха детей и их оздоровления всех типов – 0,35%.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Доля детей, охваченных отдыхом в каникулярное время в лагерях, с дневным пребыванием детей, в общем числе детей, охваченных отдыхом в организациях отдыха детей и их оздоровления всех типов – 0,90%.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Доля несовершеннолетних, охваченных профильными сменами, в общем числе детей, охваченных отдыхом в организациях отдыха детей и их оздоровления всех типов –   0,1 %.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Доля несовершеннолетних, состоящих на профилактическом учете в органах внутренних дел, охваченных отдыхом в каникулярное время в организациях отдыха и оздоровления детей, лагерях с дневным пребыванием детей, в общем числе несовершеннолетних, состоящих на профилактическом учете в органах внутренних дел – 37%.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Готовность лагеря к летней оздоровительной компании – 100%.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Доля обучающихся в образовательных организациях, состоящих на учете в отделе по делам несовершеннолетних и защите их прав, принявших участие в профильных сменах – 100%.</w:t>
            </w:r>
          </w:p>
          <w:p w:rsidR="00D15DD3" w:rsidRDefault="00D15DD3" w:rsidP="00D04265">
            <w:pPr>
              <w:widowControl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5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Обеспечение содержания деятельности Управления образования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Аргаяшского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 – 100%.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Сохранение доли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, которым оказано психолого-педагогическое консультирование от общего числа обучающихся обратившихся за психолого-педагогическим консультированием на уровне 100%.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Сохранение доли детей-инвалидов, охваченных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обучением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по основным общеобразовательным программам, родители (законные представители) которых получают компенсацию за обучение детей-инвалидов на дому, от общего числа заявившихся на получение компенсации на уровне 100%.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Увеличение доли образовательных организаций, в которых разработаны и реализуются мероприятия по повышению качества образования в образовательных организациях, показывающих низкие образовательные результаты по итогам учебного года, и в общеобразовательных организациях, функционирующих в неблагоприятных социальных условиях, в общем количестве общеобразовательных организаций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Аргаяшского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 до 80%.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Увеличение доли образовательных организаций, в которых созданы и функционируют муниципальные системы оценки качества дошкольного образования,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начального общего, основного общего и среднего общего образования, в общем количестве общеобразовательных организаций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Аргаяшского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 до 100%.</w:t>
            </w:r>
          </w:p>
          <w:p w:rsidR="00D15DD3" w:rsidRDefault="00D15DD3" w:rsidP="00D04265">
            <w:pPr>
              <w:pStyle w:val="2"/>
              <w:widowControl w:val="0"/>
              <w:tabs>
                <w:tab w:val="left" w:pos="315"/>
                <w:tab w:val="left" w:pos="38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15DD3" w:rsidRDefault="00D15DD3" w:rsidP="00D04265">
            <w:pPr>
              <w:widowControl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6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Сохранение доли образовательных организаций, в которых проведены мероприятия по обеспечению повышения уровня противопожарной безопасности на уровне 30%.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Сохранение доли образовательных организаций, в которых проведены мероприятия по обеспечению антитеррористической безопасности на уровне 15%.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Сохранение доли образовательных организаций, в которых проведены мероприятия по обеспечению санитарно-эпидемиологических правил и нормативов на уровне 50%.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Сохранение доли образовательных организаций, в которых проведены мероприятия по обеспечению повышения конструктивной надежности и безопасности зданий, сооружений и инженерных систем образовательных учреждений на уровне 20%.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 xml:space="preserve">Снижение удельного веса численности обучающихся в общеобразовательных организациях, расположенных на территории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Аргаяшского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района, занимающихся в зданиях, требующих капитального ремонта или реконструкции до 100%.</w:t>
            </w:r>
            <w:proofErr w:type="gramEnd"/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Увеличение доли капитально отремонтированных зданий муниципальных общеобразовательных организаций в общем количестве зданий муниципальных общеобразовательных организаций, требующих проведения капитального ремонта до 100%.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Количество муниципальных образовательных организаций, в которых отремонтированы спортивные залы – 1 ед.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Увеличение количества оснащенных медицинских блоков в дошкольных образовательных организациях до 2 единиц. 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оконных блоков, замененных в рамках проведения ремонтных работ по замене оконных блоков в муниципальных общеобразовательных организациях – 322 ед.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Увеличение доли зданий муниципальных общеобразовательных организаций, в которых проведены ремонтные работы по замене оконных блоков, в общем количестве зданий муниципальных общеобразовательных организаций, требующих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проведения ремонтных работ по замене оконных блоков в муниципальных общеобразовательных организациях до 37%.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Увеличение доли выполненных ремонтов в зданиях муниципальных организаций отдыха и оздоровления детей в общем количестве зданий муниципальных организациях отдыха и оздоровления детей, запланированных к проведению ремонта в текущем году до 100%.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Увеличение доли отремонтированных зданий муниципальных организаций отдыха и оздоровления детей в общем количестве зданий муниципальных организациях отдыха и оздоровления детей, требующих проведения ремонтов до 100%.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Увеличение доли выполненных ремонтов в зданиях муниципальных организаций дополнительного образования в общем количестве зданий муниципальных организациях дополнительного образования, запланированных к проведению ремонта в текущем году до 100%.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Увеличение доли отремонтированных зданий муниципальных организаций дополнительного образования в общем количестве зданий муниципальных организаций дополнительного образования, требующих проведения ремонтов до 100%.</w:t>
            </w:r>
          </w:p>
          <w:p w:rsidR="00D15DD3" w:rsidRDefault="00D15DD3" w:rsidP="00D04265">
            <w:pPr>
              <w:pStyle w:val="2"/>
              <w:widowControl w:val="0"/>
              <w:numPr>
                <w:ilvl w:val="0"/>
                <w:numId w:val="8"/>
              </w:numPr>
              <w:tabs>
                <w:tab w:val="left" w:pos="315"/>
                <w:tab w:val="left" w:pos="38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Увеличение доли капитально отремонтированных зданий и сооружений муниципальных дошкольных образовательных организаций в общем количестве зданий и сооружений муниципальных дошкольных образовательных организаций, требующих проведение капитальных ремонтов до 100%.</w:t>
            </w:r>
          </w:p>
          <w:p w:rsidR="00D15DD3" w:rsidRDefault="00D15DD3" w:rsidP="00D04265">
            <w:pPr>
              <w:pStyle w:val="2"/>
              <w:widowControl w:val="0"/>
              <w:tabs>
                <w:tab w:val="left" w:pos="315"/>
                <w:tab w:val="left" w:pos="380"/>
              </w:tabs>
              <w:spacing w:after="0" w:line="240" w:lineRule="auto"/>
              <w:ind w:left="2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AC74D3" w:rsidRDefault="00AC74D3"/>
    <w:sectPr w:rsidR="00AC74D3" w:rsidSect="00AC74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C730F"/>
    <w:multiLevelType w:val="multilevel"/>
    <w:tmpl w:val="B782786C"/>
    <w:lvl w:ilvl="0">
      <w:start w:val="1"/>
      <w:numFmt w:val="decimal"/>
      <w:lvlText w:val="%1."/>
      <w:lvlJc w:val="left"/>
      <w:pPr>
        <w:tabs>
          <w:tab w:val="num" w:pos="0"/>
        </w:tabs>
        <w:ind w:left="392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1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3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5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7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9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1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3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52" w:hanging="180"/>
      </w:pPr>
      <w:rPr>
        <w:rFonts w:cs="Times New Roman"/>
      </w:rPr>
    </w:lvl>
  </w:abstractNum>
  <w:abstractNum w:abstractNumId="1">
    <w:nsid w:val="140D6773"/>
    <w:multiLevelType w:val="multilevel"/>
    <w:tmpl w:val="C4F0B562"/>
    <w:lvl w:ilvl="0">
      <w:start w:val="1"/>
      <w:numFmt w:val="decimal"/>
      <w:lvlText w:val="%1."/>
      <w:lvlJc w:val="left"/>
      <w:pPr>
        <w:tabs>
          <w:tab w:val="num" w:pos="0"/>
        </w:tabs>
        <w:ind w:left="765" w:hanging="405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nsid w:val="1BC33A45"/>
    <w:multiLevelType w:val="multilevel"/>
    <w:tmpl w:val="2C82F7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>
    <w:nsid w:val="1EA134F9"/>
    <w:multiLevelType w:val="multilevel"/>
    <w:tmpl w:val="C712778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00" w:hanging="180"/>
      </w:pPr>
      <w:rPr>
        <w:rFonts w:cs="Times New Roman"/>
      </w:rPr>
    </w:lvl>
  </w:abstractNum>
  <w:abstractNum w:abstractNumId="4">
    <w:nsid w:val="240A4E16"/>
    <w:multiLevelType w:val="multilevel"/>
    <w:tmpl w:val="CC486802"/>
    <w:lvl w:ilvl="0">
      <w:start w:val="1"/>
      <w:numFmt w:val="decimal"/>
      <w:lvlText w:val="%1."/>
      <w:lvlJc w:val="left"/>
      <w:pPr>
        <w:tabs>
          <w:tab w:val="num" w:pos="0"/>
        </w:tabs>
        <w:ind w:left="392" w:hanging="360"/>
      </w:pPr>
      <w:rPr>
        <w:rFonts w:cs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1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3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5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7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9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1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3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52" w:hanging="180"/>
      </w:pPr>
      <w:rPr>
        <w:rFonts w:cs="Times New Roman"/>
      </w:rPr>
    </w:lvl>
  </w:abstractNum>
  <w:abstractNum w:abstractNumId="5">
    <w:nsid w:val="37E91DE9"/>
    <w:multiLevelType w:val="multilevel"/>
    <w:tmpl w:val="61C2C73C"/>
    <w:lvl w:ilvl="0">
      <w:start w:val="1"/>
      <w:numFmt w:val="decimal"/>
      <w:lvlText w:val="%1."/>
      <w:lvlJc w:val="left"/>
      <w:pPr>
        <w:tabs>
          <w:tab w:val="num" w:pos="0"/>
        </w:tabs>
        <w:ind w:left="39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1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3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5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7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9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1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3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52" w:hanging="180"/>
      </w:pPr>
    </w:lvl>
  </w:abstractNum>
  <w:abstractNum w:abstractNumId="6">
    <w:nsid w:val="45854728"/>
    <w:multiLevelType w:val="multilevel"/>
    <w:tmpl w:val="3D8EDEDC"/>
    <w:lvl w:ilvl="0">
      <w:start w:val="1"/>
      <w:numFmt w:val="decimal"/>
      <w:lvlText w:val="%1."/>
      <w:lvlJc w:val="left"/>
      <w:pPr>
        <w:tabs>
          <w:tab w:val="num" w:pos="0"/>
        </w:tabs>
        <w:ind w:left="392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1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3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5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7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9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1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3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52" w:hanging="180"/>
      </w:pPr>
      <w:rPr>
        <w:rFonts w:cs="Times New Roman"/>
      </w:rPr>
    </w:lvl>
  </w:abstractNum>
  <w:abstractNum w:abstractNumId="7">
    <w:nsid w:val="5FAA41E8"/>
    <w:multiLevelType w:val="multilevel"/>
    <w:tmpl w:val="56FECC6E"/>
    <w:lvl w:ilvl="0">
      <w:start w:val="1"/>
      <w:numFmt w:val="decimal"/>
      <w:lvlText w:val="%1."/>
      <w:lvlJc w:val="left"/>
      <w:pPr>
        <w:tabs>
          <w:tab w:val="num" w:pos="0"/>
        </w:tabs>
        <w:ind w:left="890" w:hanging="51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00" w:hanging="180"/>
      </w:pPr>
      <w:rPr>
        <w:rFonts w:cs="Times New Roman"/>
      </w:rPr>
    </w:lvl>
  </w:abstractNum>
  <w:abstractNum w:abstractNumId="8">
    <w:nsid w:val="6F1A1710"/>
    <w:multiLevelType w:val="multilevel"/>
    <w:tmpl w:val="F23EFC62"/>
    <w:lvl w:ilvl="0">
      <w:start w:val="1"/>
      <w:numFmt w:val="decimal"/>
      <w:lvlText w:val="%1."/>
      <w:lvlJc w:val="left"/>
      <w:pPr>
        <w:tabs>
          <w:tab w:val="num" w:pos="0"/>
        </w:tabs>
        <w:ind w:left="53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5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7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69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1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3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85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7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98" w:hanging="180"/>
      </w:pPr>
      <w:rPr>
        <w:rFonts w:cs="Times New Roman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0"/>
  </w:num>
  <w:num w:numId="8">
    <w:abstractNumId w:val="2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15DD3"/>
    <w:rsid w:val="00AC74D3"/>
    <w:rsid w:val="00D15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DD3"/>
    <w:pPr>
      <w:suppressAutoHyphens/>
    </w:pPr>
    <w:rPr>
      <w:rFonts w:ascii="Calibri" w:eastAsia="SimSun" w:hAnsi="Calibri" w:cs="Times New Roman"/>
      <w:kern w:val="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ParagraphChar">
    <w:name w:val="List Paragraph Char"/>
    <w:link w:val="2"/>
    <w:qFormat/>
    <w:locked/>
    <w:rsid w:val="00D15DD3"/>
    <w:rPr>
      <w:rFonts w:ascii="Calibri" w:eastAsia="SimSun" w:hAnsi="Calibri"/>
      <w:kern w:val="2"/>
      <w:sz w:val="20"/>
      <w:lang w:eastAsia="ar-SA"/>
    </w:rPr>
  </w:style>
  <w:style w:type="character" w:customStyle="1" w:styleId="NoSpacingChar">
    <w:name w:val="No Spacing Char"/>
    <w:link w:val="1"/>
    <w:qFormat/>
    <w:locked/>
    <w:rsid w:val="00D15DD3"/>
    <w:rPr>
      <w:rFonts w:eastAsia="Times New Roman"/>
    </w:rPr>
  </w:style>
  <w:style w:type="character" w:customStyle="1" w:styleId="10">
    <w:name w:val="Заголовок №1_"/>
    <w:link w:val="Header"/>
    <w:qFormat/>
    <w:locked/>
    <w:rsid w:val="00D15DD3"/>
    <w:rPr>
      <w:rFonts w:ascii="Lucida Sans Unicode" w:hAnsi="Lucida Sans Unicode" w:cs="Times New Roman"/>
      <w:i/>
      <w:iCs/>
      <w:spacing w:val="30"/>
      <w:sz w:val="50"/>
      <w:szCs w:val="50"/>
      <w:shd w:val="clear" w:color="auto" w:fill="FFFFFF"/>
    </w:rPr>
  </w:style>
  <w:style w:type="paragraph" w:customStyle="1" w:styleId="1">
    <w:name w:val="Обычный (веб)1"/>
    <w:basedOn w:val="a"/>
    <w:link w:val="NoSpacingChar"/>
    <w:qFormat/>
    <w:rsid w:val="00D15DD3"/>
    <w:rPr>
      <w:rFonts w:asciiTheme="minorHAnsi" w:eastAsia="Times New Roman" w:hAnsiTheme="minorHAnsi" w:cstheme="minorBidi"/>
      <w:kern w:val="0"/>
      <w:lang w:eastAsia="en-US"/>
    </w:rPr>
  </w:style>
  <w:style w:type="paragraph" w:customStyle="1" w:styleId="a3">
    <w:name w:val="Нормальный (таблица)"/>
    <w:basedOn w:val="a"/>
    <w:next w:val="a"/>
    <w:qFormat/>
    <w:rsid w:val="00D15DD3"/>
    <w:pPr>
      <w:widowControl w:val="0"/>
      <w:suppressAutoHyphens w:val="0"/>
      <w:spacing w:after="0" w:line="240" w:lineRule="auto"/>
      <w:jc w:val="both"/>
    </w:pPr>
    <w:rPr>
      <w:rFonts w:ascii="Arial" w:eastAsia="Times New Roman" w:hAnsi="Arial"/>
      <w:kern w:val="0"/>
      <w:sz w:val="24"/>
      <w:szCs w:val="24"/>
      <w:lang w:eastAsia="ru-RU"/>
    </w:rPr>
  </w:style>
  <w:style w:type="paragraph" w:customStyle="1" w:styleId="a4">
    <w:name w:val="Прижатый влево"/>
    <w:basedOn w:val="a"/>
    <w:next w:val="a"/>
    <w:qFormat/>
    <w:rsid w:val="00D15DD3"/>
    <w:pPr>
      <w:widowControl w:val="0"/>
      <w:suppressAutoHyphens w:val="0"/>
      <w:spacing w:after="0" w:line="240" w:lineRule="auto"/>
    </w:pPr>
    <w:rPr>
      <w:rFonts w:ascii="Arial" w:eastAsia="Times New Roman" w:hAnsi="Arial"/>
      <w:kern w:val="0"/>
      <w:sz w:val="24"/>
      <w:szCs w:val="24"/>
      <w:lang w:eastAsia="ru-RU"/>
    </w:rPr>
  </w:style>
  <w:style w:type="paragraph" w:customStyle="1" w:styleId="Header">
    <w:name w:val="Header"/>
    <w:basedOn w:val="a"/>
    <w:link w:val="10"/>
    <w:rsid w:val="00D15DD3"/>
    <w:pPr>
      <w:tabs>
        <w:tab w:val="center" w:pos="4677"/>
        <w:tab w:val="right" w:pos="9355"/>
      </w:tabs>
      <w:suppressAutoHyphens w:val="0"/>
    </w:pPr>
    <w:rPr>
      <w:rFonts w:ascii="Lucida Sans Unicode" w:eastAsiaTheme="minorHAnsi" w:hAnsi="Lucida Sans Unicode"/>
      <w:i/>
      <w:iCs/>
      <w:spacing w:val="30"/>
      <w:kern w:val="0"/>
      <w:sz w:val="50"/>
      <w:szCs w:val="50"/>
      <w:lang w:eastAsia="en-US"/>
    </w:rPr>
  </w:style>
  <w:style w:type="paragraph" w:customStyle="1" w:styleId="2">
    <w:name w:val="Абзац списка2"/>
    <w:basedOn w:val="a"/>
    <w:link w:val="ListParagraphChar"/>
    <w:qFormat/>
    <w:rsid w:val="00D15DD3"/>
    <w:pPr>
      <w:ind w:left="720"/>
      <w:contextualSpacing/>
    </w:pPr>
    <w:rPr>
      <w:rFonts w:cstheme="minorBidi"/>
      <w:sz w:val="20"/>
    </w:rPr>
  </w:style>
  <w:style w:type="paragraph" w:customStyle="1" w:styleId="4">
    <w:name w:val="Абзац списка4"/>
    <w:basedOn w:val="a"/>
    <w:qFormat/>
    <w:rsid w:val="00D15DD3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17</Pages>
  <Words>5053</Words>
  <Characters>28807</Characters>
  <Application>Microsoft Office Word</Application>
  <DocSecurity>0</DocSecurity>
  <Lines>240</Lines>
  <Paragraphs>67</Paragraphs>
  <ScaleCrop>false</ScaleCrop>
  <Company/>
  <LinksUpToDate>false</LinksUpToDate>
  <CharactersWithSpaces>33793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2023-11-14T05:08:00Z</dcterms:created>
  <dcterms:modified xsi:type="dcterms:W3CDTF">2023-11-14T05:15:00Z</dcterms:modified>
</cp:coreProperties>
</file>